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keepNext/>
        <w:keepLines/>
        <w:jc w:val="center"/>
        <w:outlineLvl w:val="1"/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政府还贷二级公路取消收费后补助资金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</w:rPr>
        <w:t>使用计划表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244"/>
        <w:gridCol w:w="2160"/>
        <w:gridCol w:w="2136"/>
        <w:gridCol w:w="2148"/>
        <w:gridCol w:w="2172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资金使用范围</w:t>
            </w:r>
          </w:p>
        </w:tc>
        <w:tc>
          <w:tcPr>
            <w:tcW w:w="44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预防养护</w:t>
            </w:r>
          </w:p>
        </w:tc>
        <w:tc>
          <w:tcPr>
            <w:tcW w:w="42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修复养护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专项养护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6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计划投入资金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计划实施规模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（公里）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计划投入资金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计划实施规模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（公里）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计划投入资金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计划投入资金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普通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国道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普通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省道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农村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  <w:lang w:val="en-US" w:eastAsia="zh-CN"/>
              </w:rPr>
              <w:t>公路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注：1.专项养护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由各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结合阶段性重点工作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确定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。</w:t>
      </w:r>
    </w:p>
    <w:p>
      <w:pPr>
        <w:widowControl/>
        <w:shd w:val="clear" w:color="auto" w:fill="auto"/>
        <w:spacing w:line="240" w:lineRule="auto"/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2.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其他包括公路技术状况检测、养护工程设计、养护工程质量检验评定、“四新”技术研发等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1E8200C"/>
    <w:rsid w:val="578C6C7F"/>
    <w:rsid w:val="BDB3F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3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rainy_zr</cp:lastModifiedBy>
  <dcterms:modified xsi:type="dcterms:W3CDTF">2021-12-15T08:35:05Z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8977527871BA49BCB3BDE35F23BDD8DE</vt:lpwstr>
  </property>
  <property fmtid="{D5CDD505-2E9C-101B-9397-08002B2CF9AE}" pid="4" name="KSOSaveFontToCloudKey">
    <vt:lpwstr>556141434_btnclosed</vt:lpwstr>
  </property>
</Properties>
</file>