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1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政府还贷二级公路取消收费后补助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1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资金绩效目标细化表</w:t>
      </w:r>
    </w:p>
    <w:tbl>
      <w:tblPr>
        <w:tblStyle w:val="3"/>
        <w:tblW w:w="9409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828"/>
        <w:gridCol w:w="936"/>
        <w:gridCol w:w="5908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94" w:hRule="atLeast"/>
        </w:trPr>
        <w:tc>
          <w:tcPr>
            <w:tcW w:w="1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</w:rPr>
              <w:t>目标</w:t>
            </w:r>
          </w:p>
        </w:tc>
        <w:tc>
          <w:tcPr>
            <w:tcW w:w="798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3" w:hRule="atLeast"/>
        </w:trPr>
        <w:tc>
          <w:tcPr>
            <w:tcW w:w="5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</w:rPr>
              <w:t>绩效目标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一级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指标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二级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指标</w:t>
            </w: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三级指标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bookmarkStart w:id="0" w:name="_Hlk53463012"/>
          </w:p>
        </w:tc>
        <w:tc>
          <w:tcPr>
            <w:tcW w:w="8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产出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指标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指标</w:t>
            </w: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支持普通国道实施预防养护里程（km）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支持普通国道实施修复养护里程（km）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支持普通国道实施专项养护工程（工程量指标）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支持普通省道实施预防养护里程（km）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支持普通省道实施修复养护里程（km）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支持普通省道实施专项养护工程（工程量指标）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支持农村公路实施预防养护里程（km）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支持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农村公路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实施修复养护里程（km）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支持农村公路实施专项养护工程（工程量指标）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质量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指标</w:t>
            </w: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奖补资金全部用于普通公路养护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奖补资金使用审批流程规范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时效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指标</w:t>
            </w: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奖补资金拨付及时到位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奖补资金支持项目按期完成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效益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指标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经济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效益</w:t>
            </w: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对经济发展的促进作用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社会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效益</w:t>
            </w: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普通公路公众服务水平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公路安全水平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公路通畅水平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4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  <w:t>满意度指标</w:t>
            </w:r>
          </w:p>
        </w:tc>
        <w:tc>
          <w:tcPr>
            <w:tcW w:w="59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</w:rPr>
              <w:t>社会公众满意度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none"/>
              </w:rPr>
            </w:pPr>
          </w:p>
        </w:tc>
      </w:tr>
    </w:tbl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 xml:space="preserve">填表单位：              填表人：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 xml:space="preserve">      联系电话：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" w:cs="Times New Roman"/>
          <w:color w:val="000000"/>
          <w:kern w:val="0"/>
          <w:sz w:val="30"/>
          <w:szCs w:val="30"/>
          <w:highlight w:val="none"/>
        </w:rPr>
      </w:pPr>
    </w:p>
    <w:p>
      <w:pPr>
        <w:snapToGrid w:val="0"/>
        <w:spacing w:line="580" w:lineRule="exact"/>
        <w:ind w:firstLine="480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4"/>
          <w:szCs w:val="24"/>
          <w:u w:val="none" w:color="000000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4"/>
          <w:szCs w:val="24"/>
          <w:u w:val="none" w:color="000000"/>
          <w:lang w:eastAsia="zh-CN"/>
        </w:rPr>
        <w:t>注：财政部下达奖补资金预算的绩效目标表中没有产出指标的，无需细化，且不得安排奖补资金使用。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A02A4"/>
    <w:rsid w:val="3593021D"/>
    <w:rsid w:val="4C2A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2021-12-15T08:33:00Z</dcterms:created>
  <dc:creator>rainy_zr</dc:creator>
  <cp:lastModifiedBy>rainy_zr</cp:lastModifiedBy>
  <dcterms:modified xsi:type="dcterms:W3CDTF">2021-12-15T08:52:34Z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02BF98C1700F4882A639D87666A5D256</vt:lpwstr>
  </property>
  <property fmtid="{D5CDD505-2E9C-101B-9397-08002B2CF9AE}" pid="4" name="KSOSaveFontToCloudKey">
    <vt:lpwstr>556141434_btnclosed</vt:lpwstr>
  </property>
</Properties>
</file>